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u w:val="none"/>
        </w:rPr>
      </w:pPr>
      <w:r>
        <w:rPr>
          <w:rFonts w:hint="eastAsia"/>
          <w:u w:val="none"/>
        </w:rPr>
        <w:t>财政预算管理一体化实施的具体内容包括：</w:t>
      </w:r>
    </w:p>
    <w:tbl>
      <w:tblPr>
        <w:tblStyle w:val="4"/>
        <w:tblW w:w="87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27"/>
        <w:gridCol w:w="6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u w:val="none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u w:val="none"/>
              </w:rPr>
              <w:t>系统名称</w:t>
            </w:r>
          </w:p>
        </w:tc>
        <w:tc>
          <w:tcPr>
            <w:tcW w:w="6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right="1060" w:rightChars="482"/>
              <w:jc w:val="center"/>
              <w:rPr>
                <w:rFonts w:cs="宋体" w:asciiTheme="minorEastAsia" w:hAnsiTheme="minorEastAsia"/>
                <w:b/>
                <w:bCs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u w:val="none"/>
              </w:rPr>
              <w:t>功能模块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基础信息库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构建及管理全省单位信息、人员信息库、资产信息、支出标准等基础信息数据库。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（二）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项目库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对预算项目全生命周期进行管理，构建、管理全省跨年滚动的项目信息库。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（三）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预算编制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预算编制管理的主要功能包括录入类报表定义、定额管理、科室用户权限设置、审核关系定义、预算编审、预算调整、中期财政规划等。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（四）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预算调整调剂（指标管理）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主要实现预算指标的下达、执行、记录、监督、支出控制等各环节的业务活动。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（五）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预算绩效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绩效管理贯穿于财政支出全过程，通过绩效目标制定、绩效跟踪、绩效评价、绩效综合报告形成完整的资金使用管理系统，从而提高财政资金效益和效率。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（六）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预算执行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用款计划管理（含电子化）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主要实现用款计划的录入、上报、审核、批复、支出控制等功能。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支付管理（含电子化）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主要实现直接支付、授权支付、实拨等方式的支付清算功能。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工资统发管理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主要实现人员工资统一发放管理。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公务卡管理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公务卡管理主要包括公务卡账号管理、消费明细的取、支付及还款凭证的汇总生成等功能。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账户管理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主要实现对财政专户和预算单位账户的全过程管理，包括：包括财政专户和单位账户的开立、变更、核销、备案等功能。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财政专户资金管理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主要实现财政专户资金管理、主要资金收入来源管理及支出控制管理等管理功能。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支付监控管理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对纳入支付监控范围的资金支付情况进行监控预警、分析、核查并及时纠正资金支付。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自有资金管理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实现单位自有资金的信息化管理，类似国库集中支付，进行自有资金指标、计划、支付的管理。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会计核算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总预算会计核算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主要实现包括总预算会计账、非税收入明细账及支付明细账在内的账务处理功能。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单位会计核算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主要包括账务处理、出纳管理、报表管理、辅助决算、财务稽核及财务分析等。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（八）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与相关系统协同衔接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支持与政府采购、一卡通等相关系统协同衔接。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（九）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运维服务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保障系统稳定高效运行</w:t>
            </w:r>
          </w:p>
        </w:tc>
      </w:tr>
    </w:tbl>
    <w:p/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zkxZDlkMjBhZjM5ZDFmOWQxM2I2NzJhYmVmMDcifQ=="/>
  </w:docVars>
  <w:rsids>
    <w:rsidRoot w:val="43662CAA"/>
    <w:rsid w:val="03D354A3"/>
    <w:rsid w:val="16CE0FAA"/>
    <w:rsid w:val="291173BB"/>
    <w:rsid w:val="2F6316E1"/>
    <w:rsid w:val="4366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18"/>
    </w:pPr>
    <w:rPr>
      <w:sz w:val="24"/>
      <w:szCs w:val="24"/>
    </w:rPr>
  </w:style>
  <w:style w:type="paragraph" w:styleId="3">
    <w:name w:val="Body Text 2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799</Characters>
  <Lines>0</Lines>
  <Paragraphs>0</Paragraphs>
  <TotalTime>3</TotalTime>
  <ScaleCrop>false</ScaleCrop>
  <LinksUpToDate>false</LinksUpToDate>
  <CharactersWithSpaces>800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2022-03-30T04:53:00Z</dcterms:created>
  <dc:creator>冷兮</dc:creator>
  <cp:lastModifiedBy>幸福壹笙</cp:lastModifiedBy>
  <dcterms:modified xsi:type="dcterms:W3CDTF">2022-08-04T07:19:06Z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3D5F140DF97A4D5D82FDD8186830302A</vt:lpwstr>
  </property>
</Properties>
</file>